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2AA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2AA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Алтайского края</w:t>
      </w: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472AA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Pr="004472AA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4472AA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4472AA" w:rsidRPr="004472AA" w:rsidRDefault="004472AA" w:rsidP="004472AA">
      <w:pPr>
        <w:autoSpaceDE w:val="0"/>
        <w:autoSpaceDN w:val="0"/>
        <w:spacing w:after="216" w:line="22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4472AA" w:rsidRPr="004472AA" w:rsidTr="002C749E">
        <w:trPr>
          <w:trHeight w:hRule="exact" w:val="27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 w:rsidRPr="004472AA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72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72AA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 w:rsidRPr="004472AA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4472AA" w:rsidRPr="004472AA" w:rsidTr="002C749E">
        <w:trPr>
          <w:trHeight w:hRule="exact" w:val="28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 w:rsidRPr="004472AA"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4472AA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2AA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2AA">
              <w:rPr>
                <w:rFonts w:ascii="Times New Roman" w:hAnsi="Times New Roman" w:cs="Times New Roman"/>
              </w:rPr>
              <w:t>по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4472AA">
              <w:rPr>
                <w:rFonts w:ascii="Times New Roman" w:hAnsi="Times New Roman" w:cs="Times New Roman"/>
              </w:rPr>
              <w:t>Директор</w:t>
            </w:r>
            <w:proofErr w:type="spellEnd"/>
          </w:p>
        </w:tc>
      </w:tr>
    </w:tbl>
    <w:p w:rsidR="004472AA" w:rsidRPr="004472AA" w:rsidRDefault="004472AA" w:rsidP="004472AA">
      <w:pPr>
        <w:autoSpaceDE w:val="0"/>
        <w:autoSpaceDN w:val="0"/>
        <w:spacing w:after="216" w:line="22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2"/>
        <w:gridCol w:w="3880"/>
        <w:gridCol w:w="3380"/>
      </w:tblGrid>
      <w:tr w:rsidR="004472AA" w:rsidRPr="004472AA" w:rsidTr="002C749E">
        <w:trPr>
          <w:trHeight w:hRule="exact" w:val="358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 w:rsidRPr="004472AA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 w:rsidRPr="004472AA">
              <w:rPr>
                <w:rFonts w:ascii="Times New Roman" w:hAnsi="Times New Roman" w:cs="Times New Roman"/>
              </w:rPr>
              <w:t>______________Вышиденко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 w:rsidRPr="004472AA">
              <w:rPr>
                <w:rFonts w:ascii="Times New Roman" w:hAnsi="Times New Roman" w:cs="Times New Roman"/>
              </w:rPr>
              <w:t>______________</w:t>
            </w:r>
            <w:proofErr w:type="spellStart"/>
            <w:r w:rsidRPr="004472AA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И.М.</w:t>
            </w:r>
          </w:p>
        </w:tc>
      </w:tr>
      <w:tr w:rsidR="004472AA" w:rsidRPr="004472AA" w:rsidTr="002C749E">
        <w:trPr>
          <w:trHeight w:hRule="exact" w:val="420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4472AA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№______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 w:rsidRPr="004472AA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proofErr w:type="spellStart"/>
            <w:r w:rsidRPr="004472AA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№____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4472AA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№______</w:t>
            </w:r>
          </w:p>
        </w:tc>
      </w:tr>
      <w:tr w:rsidR="004472AA" w:rsidRPr="004472AA" w:rsidTr="002C749E">
        <w:trPr>
          <w:trHeight w:hRule="exact" w:val="384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4472AA">
              <w:rPr>
                <w:rFonts w:ascii="Times New Roman" w:hAnsi="Times New Roman" w:cs="Times New Roman"/>
              </w:rPr>
              <w:t>от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"___" ________2022 г.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r w:rsidRPr="004472AA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proofErr w:type="spellStart"/>
            <w:r w:rsidRPr="004472AA">
              <w:rPr>
                <w:rFonts w:ascii="Times New Roman" w:hAnsi="Times New Roman" w:cs="Times New Roman"/>
              </w:rPr>
              <w:t>от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"___" ________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472AA" w:rsidRPr="004472AA" w:rsidRDefault="004472AA" w:rsidP="004472AA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4472AA">
              <w:rPr>
                <w:rFonts w:ascii="Times New Roman" w:hAnsi="Times New Roman" w:cs="Times New Roman"/>
              </w:rPr>
              <w:t>от</w:t>
            </w:r>
            <w:proofErr w:type="spellEnd"/>
            <w:r w:rsidRPr="004472AA">
              <w:rPr>
                <w:rFonts w:ascii="Times New Roman" w:hAnsi="Times New Roman" w:cs="Times New Roman"/>
              </w:rPr>
              <w:t xml:space="preserve"> "</w:t>
            </w:r>
            <w:r w:rsidRPr="004472AA">
              <w:rPr>
                <w:rFonts w:ascii="Times New Roman" w:hAnsi="Times New Roman" w:cs="Times New Roman"/>
                <w:lang w:val="ru-RU"/>
              </w:rPr>
              <w:t>___</w:t>
            </w:r>
            <w:r w:rsidRPr="004472AA">
              <w:rPr>
                <w:rFonts w:ascii="Times New Roman" w:hAnsi="Times New Roman" w:cs="Times New Roman"/>
              </w:rPr>
              <w:t>"</w:t>
            </w:r>
            <w:r w:rsidRPr="004472AA">
              <w:rPr>
                <w:rFonts w:ascii="Times New Roman" w:hAnsi="Times New Roman" w:cs="Times New Roman"/>
                <w:lang w:val="ru-RU"/>
              </w:rPr>
              <w:t>________2022</w:t>
            </w:r>
            <w:r w:rsidRPr="004472AA">
              <w:rPr>
                <w:rFonts w:ascii="Times New Roman" w:hAnsi="Times New Roman" w:cs="Times New Roman"/>
              </w:rPr>
              <w:t xml:space="preserve">  г.</w:t>
            </w:r>
          </w:p>
        </w:tc>
      </w:tr>
    </w:tbl>
    <w:p w:rsidR="004472AA" w:rsidRPr="004472AA" w:rsidRDefault="004472AA" w:rsidP="004472AA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b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b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b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b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2AA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2AA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  <w:r w:rsidRPr="004472AA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2AA">
        <w:rPr>
          <w:rFonts w:ascii="Times New Roman" w:hAnsi="Times New Roman" w:cs="Times New Roman"/>
          <w:sz w:val="24"/>
          <w:szCs w:val="24"/>
          <w:lang w:val="ru-RU"/>
        </w:rPr>
        <w:t>«Литература»</w:t>
      </w: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8</w:t>
      </w:r>
      <w:r w:rsidRPr="004472AA">
        <w:rPr>
          <w:rFonts w:ascii="Times New Roman" w:hAnsi="Times New Roman" w:cs="Times New Roman"/>
          <w:sz w:val="24"/>
          <w:szCs w:val="24"/>
          <w:lang w:val="ru-RU"/>
        </w:rPr>
        <w:t xml:space="preserve"> класса основного общего образования </w:t>
      </w:r>
      <w:r w:rsidRPr="004472AA">
        <w:rPr>
          <w:rFonts w:ascii="Times New Roman" w:hAnsi="Times New Roman" w:cs="Times New Roman"/>
          <w:sz w:val="24"/>
          <w:szCs w:val="24"/>
          <w:lang w:val="ru-RU"/>
        </w:rPr>
        <w:br/>
        <w:t>на 2022-2023  учебный год</w:t>
      </w: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ind w:left="5760"/>
        <w:rPr>
          <w:rFonts w:ascii="Times New Roman" w:hAnsi="Times New Roman" w:cs="Times New Roman"/>
          <w:sz w:val="24"/>
          <w:szCs w:val="24"/>
          <w:lang w:val="ru-RU"/>
        </w:rPr>
      </w:pPr>
      <w:r w:rsidRPr="004472A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Вышиденко Юлия Анатольевна </w:t>
      </w:r>
      <w:r w:rsidRPr="004472AA">
        <w:rPr>
          <w:rFonts w:ascii="Times New Roman" w:hAnsi="Times New Roman" w:cs="Times New Roman"/>
          <w:sz w:val="24"/>
          <w:szCs w:val="24"/>
          <w:lang w:val="ru-RU"/>
        </w:rPr>
        <w:br/>
        <w:t>учитель русского языка и литературы</w:t>
      </w: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72AA" w:rsidRPr="004472AA" w:rsidRDefault="004472AA" w:rsidP="004472AA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72AA">
        <w:rPr>
          <w:rFonts w:ascii="Times New Roman" w:hAnsi="Times New Roman" w:cs="Times New Roman"/>
          <w:sz w:val="24"/>
          <w:szCs w:val="24"/>
          <w:lang w:val="ru-RU"/>
        </w:rPr>
        <w:t>с. Закладное 2022</w:t>
      </w:r>
    </w:p>
    <w:p w:rsidR="00A21856" w:rsidRPr="004472AA" w:rsidRDefault="00A21856">
      <w:pPr>
        <w:autoSpaceDE w:val="0"/>
        <w:autoSpaceDN w:val="0"/>
        <w:spacing w:after="216" w:line="220" w:lineRule="exact"/>
        <w:rPr>
          <w:lang w:val="ru-RU"/>
        </w:rPr>
      </w:pPr>
    </w:p>
    <w:p w:rsidR="004472AA" w:rsidRPr="004472AA" w:rsidRDefault="004472AA">
      <w:pPr>
        <w:autoSpaceDE w:val="0"/>
        <w:autoSpaceDN w:val="0"/>
        <w:spacing w:after="216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21856" w:rsidRPr="004472AA" w:rsidRDefault="00B40733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8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г.№ 287, зарегистрирован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A21856" w:rsidRPr="004472AA" w:rsidRDefault="00B40733">
      <w:pPr>
        <w:autoSpaceDE w:val="0"/>
        <w:autoSpaceDN w:val="0"/>
        <w:spacing w:before="264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A21856" w:rsidRPr="004472AA" w:rsidRDefault="00B40733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21856" w:rsidRPr="004472AA" w:rsidRDefault="00B4073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A21856" w:rsidRPr="004472AA" w:rsidRDefault="00B40733">
      <w:pPr>
        <w:autoSpaceDE w:val="0"/>
        <w:autoSpaceDN w:val="0"/>
        <w:spacing w:before="70" w:after="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21856" w:rsidRPr="004472AA" w:rsidRDefault="00B4073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21856" w:rsidRPr="004472AA" w:rsidRDefault="00B40733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</w:t>
      </w:r>
    </w:p>
    <w:p w:rsidR="00A21856" w:rsidRPr="004472AA" w:rsidRDefault="00B4073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21856" w:rsidRPr="004472AA" w:rsidRDefault="00B40733">
      <w:pPr>
        <w:autoSpaceDE w:val="0"/>
        <w:autoSpaceDN w:val="0"/>
        <w:spacing w:before="382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A21856" w:rsidRPr="004472AA" w:rsidRDefault="00B40733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78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21856" w:rsidRPr="004472AA" w:rsidRDefault="00B40733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21856" w:rsidRPr="004472AA" w:rsidRDefault="00B4073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A21856" w:rsidRPr="004472AA" w:rsidRDefault="00B40733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21856" w:rsidRPr="004472AA" w:rsidRDefault="00B40733">
      <w:pPr>
        <w:autoSpaceDE w:val="0"/>
        <w:autoSpaceDN w:val="0"/>
        <w:spacing w:before="382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A21856" w:rsidRPr="004472AA" w:rsidRDefault="00B40733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предмету«</w:t>
      </w:r>
      <w:proofErr w:type="gram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 </w:t>
      </w:r>
    </w:p>
    <w:p w:rsidR="00A21856" w:rsidRPr="004472AA" w:rsidRDefault="00B4073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В 8 классе на изучение предмета отводится 2 часа в неделю, суммарно изучение литературы в 8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298" w:right="690" w:bottom="39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66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по программе основного общего образования рассчитано на 68 часов. 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78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21856" w:rsidRPr="004472AA" w:rsidRDefault="00B40733">
      <w:pPr>
        <w:autoSpaceDE w:val="0"/>
        <w:autoSpaceDN w:val="0"/>
        <w:spacing w:before="466" w:after="0" w:line="271" w:lineRule="auto"/>
        <w:ind w:right="288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Древнерусская литература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Житийная литература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произведение по выбору). Например, «Житие Сергия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Радонежского</w:t>
      </w:r>
      <w:proofErr w:type="gram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Житие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протопопа Аввакума, им самим написанное».</w:t>
      </w:r>
    </w:p>
    <w:p w:rsidR="00A21856" w:rsidRPr="004472AA" w:rsidRDefault="00B40733">
      <w:pPr>
        <w:autoSpaceDE w:val="0"/>
        <w:autoSpaceDN w:val="0"/>
        <w:spacing w:before="406" w:after="0" w:line="262" w:lineRule="auto"/>
        <w:ind w:right="6336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Д. И. Фонвизин. 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Комедия «Недоросль».</w:t>
      </w:r>
    </w:p>
    <w:p w:rsidR="00A21856" w:rsidRPr="004472AA" w:rsidRDefault="00B40733">
      <w:pPr>
        <w:autoSpaceDE w:val="0"/>
        <w:autoSpaceDN w:val="0"/>
        <w:spacing w:before="408" w:after="0"/>
        <w:ind w:right="144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А. С. Пушкин.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Например, «К Чаадаеву», «Анчар» и др. «Маленькие трагедии» (одна пьеса по выбору). Например, «Моцарт и Сальери», «Каменный гость». </w:t>
      </w:r>
      <w:proofErr w:type="spellStart"/>
      <w:proofErr w:type="gram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Роман«</w:t>
      </w:r>
      <w:proofErr w:type="gram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Капитанская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дочка».</w:t>
      </w:r>
    </w:p>
    <w:p w:rsidR="00A21856" w:rsidRPr="004472AA" w:rsidRDefault="00B40733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Например, «Я не хочу, чтоб свет узнал…», «Из-под таинственной, холодной полумаски…», «Нищий» и др. Поэма «Мцыри».</w:t>
      </w:r>
    </w:p>
    <w:p w:rsidR="00A21856" w:rsidRPr="004472AA" w:rsidRDefault="00B40733">
      <w:pPr>
        <w:autoSpaceDE w:val="0"/>
        <w:autoSpaceDN w:val="0"/>
        <w:spacing w:before="7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Повесть «Шинель». Комедия «Ревизор».</w:t>
      </w:r>
    </w:p>
    <w:p w:rsidR="00A21856" w:rsidRPr="004472AA" w:rsidRDefault="00B40733">
      <w:pPr>
        <w:autoSpaceDE w:val="0"/>
        <w:autoSpaceDN w:val="0"/>
        <w:spacing w:before="406" w:after="0" w:line="271" w:lineRule="auto"/>
        <w:ind w:right="4176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Повести (одна по выбору). Например, «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Ася</w:t>
      </w:r>
      <w:proofErr w:type="gram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Первая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любовь».</w:t>
      </w:r>
    </w:p>
    <w:p w:rsidR="00A21856" w:rsidRPr="004472AA" w:rsidRDefault="00B40733">
      <w:pPr>
        <w:autoSpaceDE w:val="0"/>
        <w:autoSpaceDN w:val="0"/>
        <w:spacing w:before="7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Ф. М. Достоевский. 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«Бедные люди», «Белые ночи» (одно произведение по выбору).</w:t>
      </w:r>
    </w:p>
    <w:p w:rsidR="00A21856" w:rsidRPr="004472AA" w:rsidRDefault="00B4073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Повести и рассказы (одно произведение по выбору). Например, «Отрочество» (главы).</w:t>
      </w:r>
    </w:p>
    <w:p w:rsidR="00A21856" w:rsidRPr="004472AA" w:rsidRDefault="00B40733">
      <w:pPr>
        <w:autoSpaceDE w:val="0"/>
        <w:autoSpaceDN w:val="0"/>
        <w:spacing w:before="406" w:after="0" w:line="271" w:lineRule="auto"/>
        <w:ind w:right="72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писателей русского зарубежья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 по    выбору).  Например, произведения И. С.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Шмелёва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, М. А. Осоргина, В. В. Набокова, Н. Тэффи, А. Т. Аверченко и др.</w:t>
      </w:r>
    </w:p>
    <w:p w:rsidR="00A21856" w:rsidRPr="004472AA" w:rsidRDefault="00B40733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Поэзия первой половины ХХ века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</w:t>
      </w:r>
    </w:p>
    <w:p w:rsidR="00A21856" w:rsidRPr="004472AA" w:rsidRDefault="00B40733">
      <w:pPr>
        <w:autoSpaceDE w:val="0"/>
        <w:autoSpaceDN w:val="0"/>
        <w:spacing w:before="7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М. А. Булгаков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повесть по выбору). Например, «Собачье сердце» и др.</w:t>
      </w:r>
    </w:p>
    <w:p w:rsidR="00A21856" w:rsidRPr="004472AA" w:rsidRDefault="00B40733">
      <w:pPr>
        <w:autoSpaceDE w:val="0"/>
        <w:autoSpaceDN w:val="0"/>
        <w:spacing w:before="408" w:after="0" w:line="271" w:lineRule="auto"/>
        <w:ind w:right="72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Т. Твардовский. 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Поэма «Василий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Тёркин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» (главы «Переправа», «Гармонь», «Два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солдата</w:t>
      </w:r>
      <w:proofErr w:type="gram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Поединок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» и др.).</w:t>
      </w:r>
    </w:p>
    <w:p w:rsidR="00A21856" w:rsidRPr="004472AA" w:rsidRDefault="00B40733">
      <w:pPr>
        <w:autoSpaceDE w:val="0"/>
        <w:autoSpaceDN w:val="0"/>
        <w:spacing w:before="7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М. А. Шолохов.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«Судьба человека».</w:t>
      </w:r>
    </w:p>
    <w:p w:rsidR="00A21856" w:rsidRPr="004472AA" w:rsidRDefault="00B40733">
      <w:pPr>
        <w:autoSpaceDE w:val="0"/>
        <w:autoSpaceDN w:val="0"/>
        <w:spacing w:before="7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А. И. Солженицын.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Матрёнин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двор».</w:t>
      </w:r>
    </w:p>
    <w:p w:rsidR="00A21856" w:rsidRPr="004472AA" w:rsidRDefault="00B4073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 произведений). Например, произведения Е. И. Носова, А. Н. и Б. Н. Стругацких, В. Ф. Тендрякова, Б. П. Екимова и др.</w:t>
      </w:r>
    </w:p>
    <w:p w:rsidR="00A21856" w:rsidRPr="004472AA" w:rsidRDefault="00B40733">
      <w:pPr>
        <w:autoSpaceDE w:val="0"/>
        <w:autoSpaceDN w:val="0"/>
        <w:spacing w:before="70" w:after="0"/>
        <w:ind w:right="144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 произведений на тему «Человек в ситуации нравственного выбора»). Например, произведения В. П. Астафьева, Ю. В. Бондарева, Н. С.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Дашевской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, Дж. Сэлинджера, К.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Патерсон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, Б. Кауфман и др.).</w:t>
      </w:r>
    </w:p>
    <w:p w:rsidR="00A21856" w:rsidRPr="004472AA" w:rsidRDefault="00B40733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трёх стихотворений). Например, стихотворения Н. А. Заболоцкого, М. А. Светлова, М. В. </w:t>
      </w:r>
      <w:proofErr w:type="gram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Исаковского,  К.</w:t>
      </w:r>
      <w:proofErr w:type="gram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М. Симонова, Р. Г. Гамзатова, Б. Ш. Окуджавы, В. С. Высоцкого, А. А. Вознесенского, Е. А. Евтушенко, Р. И.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66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Рождественского, И. А. Бродского, А. С. Кушнера и др.</w:t>
      </w:r>
    </w:p>
    <w:p w:rsidR="00A21856" w:rsidRPr="004472AA" w:rsidRDefault="00B40733">
      <w:pPr>
        <w:autoSpaceDE w:val="0"/>
        <w:autoSpaceDN w:val="0"/>
        <w:spacing w:before="406" w:after="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У. Шекспир.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Сонеты (один-два по выбору). Например, № 66 «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Измучась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всем, я умереть хочу…», №130 «Её глаза на звёзды не похожи…» и др. Трагедия «Ромео и Джульетта» (фрагменты по выбору). </w:t>
      </w: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Ж.-Б. Мольер. </w:t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Комедия «Мещанин во дворянстве» (фрагменты по выбору).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286" w:right="862" w:bottom="1440" w:left="666" w:header="720" w:footer="720" w:gutter="0"/>
          <w:cols w:space="720" w:equalWidth="0">
            <w:col w:w="10372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78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21856" w:rsidRPr="004472AA" w:rsidRDefault="00B40733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литературы в 8 классе направлено на достижение обучающимися следующих личностных,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21856" w:rsidRPr="004472AA" w:rsidRDefault="00B40733">
      <w:pPr>
        <w:autoSpaceDE w:val="0"/>
        <w:autoSpaceDN w:val="0"/>
        <w:spacing w:before="262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21856" w:rsidRPr="004472AA" w:rsidRDefault="00B40733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1856" w:rsidRPr="004472AA" w:rsidRDefault="00B40733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A21856" w:rsidRPr="004472AA" w:rsidRDefault="00B4073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21856" w:rsidRPr="004472AA" w:rsidRDefault="00B4073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A21856" w:rsidRPr="004472AA" w:rsidRDefault="00B4073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A21856" w:rsidRPr="004472AA" w:rsidRDefault="00B40733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108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21856" w:rsidRPr="004472AA" w:rsidRDefault="00B40733">
      <w:pPr>
        <w:autoSpaceDE w:val="0"/>
        <w:autoSpaceDN w:val="0"/>
        <w:spacing w:before="298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A21856" w:rsidRPr="004472AA" w:rsidRDefault="00B40733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21856" w:rsidRPr="004472AA" w:rsidRDefault="00B40733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21856" w:rsidRPr="004472AA" w:rsidRDefault="00B40733">
      <w:pPr>
        <w:autoSpaceDE w:val="0"/>
        <w:autoSpaceDN w:val="0"/>
        <w:spacing w:before="298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A21856" w:rsidRPr="004472AA" w:rsidRDefault="00B40733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:rsidR="00A21856" w:rsidRPr="004472AA" w:rsidRDefault="00B40733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1856" w:rsidRPr="004472AA" w:rsidRDefault="00B4073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21856" w:rsidRPr="004472AA" w:rsidRDefault="00B40733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21856" w:rsidRPr="004472AA" w:rsidRDefault="00B40733">
      <w:pPr>
        <w:autoSpaceDE w:val="0"/>
        <w:autoSpaceDN w:val="0"/>
        <w:spacing w:before="298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328" w:right="648" w:bottom="402" w:left="846" w:header="720" w:footer="720" w:gutter="0"/>
          <w:cols w:space="720" w:equalWidth="0">
            <w:col w:w="10406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132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21856" w:rsidRPr="004472AA" w:rsidRDefault="00B4073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A21856" w:rsidRPr="004472AA" w:rsidRDefault="00B40733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21856" w:rsidRPr="004472AA" w:rsidRDefault="00B4073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A21856" w:rsidRPr="004472AA" w:rsidRDefault="00B4073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A21856" w:rsidRPr="004472AA" w:rsidRDefault="00B4073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21856" w:rsidRPr="004472AA" w:rsidRDefault="00B40733">
      <w:pPr>
        <w:autoSpaceDE w:val="0"/>
        <w:autoSpaceDN w:val="0"/>
        <w:spacing w:before="180" w:after="0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21856" w:rsidRPr="004472AA" w:rsidRDefault="00B40733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21856" w:rsidRPr="004472AA" w:rsidRDefault="00B4073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352" w:right="772" w:bottom="38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66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21856" w:rsidRPr="004472AA" w:rsidRDefault="00B40733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:rsidR="00A21856" w:rsidRPr="004472AA" w:rsidRDefault="00B40733">
      <w:pPr>
        <w:autoSpaceDE w:val="0"/>
        <w:autoSpaceDN w:val="0"/>
        <w:spacing w:before="322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21856" w:rsidRPr="004472AA" w:rsidRDefault="00B40733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21856" w:rsidRPr="004472AA" w:rsidRDefault="00B4073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A21856" w:rsidRPr="004472AA" w:rsidRDefault="00B4073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78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21856" w:rsidRPr="004472AA" w:rsidRDefault="00B40733">
      <w:pPr>
        <w:autoSpaceDE w:val="0"/>
        <w:autoSpaceDN w:val="0"/>
        <w:spacing w:before="18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A21856" w:rsidRPr="004472AA" w:rsidRDefault="00B40733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21856" w:rsidRPr="004472AA" w:rsidRDefault="00B40733">
      <w:pPr>
        <w:autoSpaceDE w:val="0"/>
        <w:autoSpaceDN w:val="0"/>
        <w:spacing w:before="18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A21856" w:rsidRPr="004472AA" w:rsidRDefault="00B40733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126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:rsidR="00A21856" w:rsidRPr="004472AA" w:rsidRDefault="00B40733">
      <w:pPr>
        <w:autoSpaceDE w:val="0"/>
        <w:autoSpaceDN w:val="0"/>
        <w:spacing w:before="178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действия: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1) Общение:</w:t>
      </w:r>
    </w:p>
    <w:p w:rsidR="00A21856" w:rsidRPr="004472AA" w:rsidRDefault="00B4073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A21856" w:rsidRPr="004472AA" w:rsidRDefault="00B4073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A21856" w:rsidRPr="004472AA" w:rsidRDefault="00B40733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21856" w:rsidRPr="004472AA" w:rsidRDefault="00B40733">
      <w:pPr>
        <w:autoSpaceDE w:val="0"/>
        <w:autoSpaceDN w:val="0"/>
        <w:spacing w:before="298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2) Совместная деятельность:</w:t>
      </w:r>
    </w:p>
    <w:p w:rsidR="00A21856" w:rsidRPr="004472AA" w:rsidRDefault="00B40733">
      <w:pPr>
        <w:autoSpaceDE w:val="0"/>
        <w:autoSpaceDN w:val="0"/>
        <w:spacing w:before="178" w:after="0"/>
        <w:ind w:left="240" w:right="86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21856" w:rsidRPr="004472AA" w:rsidRDefault="00B40733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A21856" w:rsidRPr="004472AA" w:rsidRDefault="00B40733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346" w:right="728" w:bottom="33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114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21856" w:rsidRPr="004472AA" w:rsidRDefault="00B4073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21856" w:rsidRPr="004472AA" w:rsidRDefault="00B40733">
      <w:pPr>
        <w:autoSpaceDE w:val="0"/>
        <w:autoSpaceDN w:val="0"/>
        <w:spacing w:before="178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1) Самоорганизация:</w:t>
      </w:r>
    </w:p>
    <w:p w:rsidR="00A21856" w:rsidRPr="004472AA" w:rsidRDefault="00B4073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A21856" w:rsidRPr="004472AA" w:rsidRDefault="00B40733">
      <w:pPr>
        <w:autoSpaceDE w:val="0"/>
        <w:autoSpaceDN w:val="0"/>
        <w:spacing w:before="180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2) Самоконтроль:</w:t>
      </w:r>
    </w:p>
    <w:p w:rsidR="00A21856" w:rsidRPr="004472AA" w:rsidRDefault="00B40733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21856" w:rsidRPr="004472AA" w:rsidRDefault="00B40733">
      <w:pPr>
        <w:autoSpaceDE w:val="0"/>
        <w:autoSpaceDN w:val="0"/>
        <w:spacing w:before="178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3) Эмоциональный интеллект:</w:t>
      </w:r>
    </w:p>
    <w:p w:rsidR="00A21856" w:rsidRPr="004472AA" w:rsidRDefault="00B4073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334" w:right="720" w:bottom="296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150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:rsidR="00A21856" w:rsidRPr="004472AA" w:rsidRDefault="00B407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4) Принятие себя и других:</w:t>
      </w:r>
    </w:p>
    <w:p w:rsidR="00A21856" w:rsidRPr="004472AA" w:rsidRDefault="00B4073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:rsidR="00A21856" w:rsidRPr="004472AA" w:rsidRDefault="00B4073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:rsidR="00A21856" w:rsidRPr="004472AA" w:rsidRDefault="00B407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A21856" w:rsidRPr="004472AA" w:rsidRDefault="00B40733">
      <w:pPr>
        <w:autoSpaceDE w:val="0"/>
        <w:autoSpaceDN w:val="0"/>
        <w:spacing w:before="322" w:after="0" w:line="230" w:lineRule="auto"/>
        <w:rPr>
          <w:lang w:val="ru-RU"/>
        </w:rPr>
      </w:pPr>
      <w:r w:rsidRPr="004472A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21856" w:rsidRPr="004472AA" w:rsidRDefault="00B40733">
      <w:pPr>
        <w:tabs>
          <w:tab w:val="left" w:pos="180"/>
        </w:tabs>
        <w:autoSpaceDE w:val="0"/>
        <w:autoSpaceDN w:val="0"/>
        <w:spacing w:before="166" w:after="0" w:line="286" w:lineRule="auto"/>
        <w:ind w:right="288"/>
        <w:rPr>
          <w:lang w:val="ru-RU"/>
        </w:rPr>
      </w:pP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 </w:t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специфику литературы как вида словесного искусства, выявлять отличия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художественного текста от текста научного, делового, публицистического; </w:t>
      </w:r>
      <w:r w:rsidRPr="004472AA">
        <w:rPr>
          <w:lang w:val="ru-RU"/>
        </w:rPr>
        <w:br/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21856" w:rsidRPr="004472AA" w:rsidRDefault="00B40733">
      <w:pPr>
        <w:autoSpaceDE w:val="0"/>
        <w:autoSpaceDN w:val="0"/>
        <w:spacing w:before="178" w:after="0" w:line="288" w:lineRule="auto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21856" w:rsidRPr="004472AA" w:rsidRDefault="00B40733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</w:t>
      </w:r>
    </w:p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370" w:right="770" w:bottom="332" w:left="666" w:header="720" w:footer="720" w:gutter="0"/>
          <w:cols w:space="720" w:equalWidth="0">
            <w:col w:w="10464" w:space="0"/>
          </w:cols>
          <w:docGrid w:linePitch="360"/>
        </w:sectPr>
      </w:pPr>
    </w:p>
    <w:p w:rsidR="00A21856" w:rsidRPr="004472AA" w:rsidRDefault="00A21856">
      <w:pPr>
        <w:autoSpaceDE w:val="0"/>
        <w:autoSpaceDN w:val="0"/>
        <w:spacing w:after="66" w:line="220" w:lineRule="exact"/>
        <w:rPr>
          <w:lang w:val="ru-RU"/>
        </w:rPr>
      </w:pPr>
    </w:p>
    <w:p w:rsidR="00A21856" w:rsidRPr="004472AA" w:rsidRDefault="00B40733">
      <w:pPr>
        <w:autoSpaceDE w:val="0"/>
        <w:autoSpaceDN w:val="0"/>
        <w:spacing w:after="0"/>
        <w:ind w:left="420" w:right="144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21856" w:rsidRPr="004472AA" w:rsidRDefault="00B4073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в произведениях элементы художественной формы и обнаруживать связи между ними; определять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родо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-жанровую специфику изученного художественного произведения;</w:t>
      </w:r>
    </w:p>
    <w:p w:rsidR="00A21856" w:rsidRPr="004472AA" w:rsidRDefault="00B40733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21856" w:rsidRPr="004472AA" w:rsidRDefault="00B4073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21856" w:rsidRDefault="00B40733">
      <w:pPr>
        <w:tabs>
          <w:tab w:val="left" w:pos="180"/>
        </w:tabs>
        <w:autoSpaceDE w:val="0"/>
        <w:autoSpaceDN w:val="0"/>
        <w:spacing w:before="178"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 w:rsidRPr="004472AA">
        <w:rPr>
          <w:lang w:val="ru-RU"/>
        </w:rPr>
        <w:br/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 </w:t>
      </w:r>
      <w:r w:rsidRPr="004472AA">
        <w:rPr>
          <w:lang w:val="ru-RU"/>
        </w:rPr>
        <w:br/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 </w:t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 </w:t>
      </w:r>
      <w:r w:rsidRPr="004472AA">
        <w:rPr>
          <w:lang w:val="ru-RU"/>
        </w:rPr>
        <w:br/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8) интерпретировать и оценивать текстуально изученные и самостоятельно прочитанные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 </w:t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</w:t>
      </w:r>
      <w:r w:rsidRPr="004472AA">
        <w:rPr>
          <w:lang w:val="ru-RU"/>
        </w:rPr>
        <w:br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эстетических впечатлений, а также средства собственного развития; </w:t>
      </w:r>
      <w:r w:rsidRPr="004472AA">
        <w:rPr>
          <w:lang w:val="ru-RU"/>
        </w:rPr>
        <w:br/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интернет-ресурсов</w:t>
      </w:r>
      <w:proofErr w:type="spellEnd"/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за счёт произведений современной литературы; </w:t>
      </w:r>
      <w:r w:rsidRPr="004472AA">
        <w:rPr>
          <w:lang w:val="ru-RU"/>
        </w:rPr>
        <w:br/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 xml:space="preserve">11) участвовать в коллективной и индивидуальной проектной и исследовательской деятельности и публично представлять полученные результаты; </w:t>
      </w:r>
      <w:r w:rsidRPr="004472AA">
        <w:rPr>
          <w:lang w:val="ru-RU"/>
        </w:rPr>
        <w:br/>
      </w:r>
      <w:r w:rsidRPr="004472AA">
        <w:rPr>
          <w:lang w:val="ru-RU"/>
        </w:rPr>
        <w:tab/>
      </w:r>
      <w:r w:rsidRPr="004472AA">
        <w:rPr>
          <w:rFonts w:ascii="Times New Roman" w:eastAsia="Times New Roman" w:hAnsi="Times New Roman"/>
          <w:color w:val="000000"/>
          <w:sz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F2272" w:rsidRDefault="003F2272">
      <w:pPr>
        <w:tabs>
          <w:tab w:val="left" w:pos="180"/>
        </w:tabs>
        <w:autoSpaceDE w:val="0"/>
        <w:autoSpaceDN w:val="0"/>
        <w:spacing w:before="178"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F2272" w:rsidRDefault="003F2272">
      <w:pPr>
        <w:tabs>
          <w:tab w:val="left" w:pos="180"/>
        </w:tabs>
        <w:autoSpaceDE w:val="0"/>
        <w:autoSpaceDN w:val="0"/>
        <w:spacing w:before="178"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Тематическое планирование</w:t>
      </w:r>
    </w:p>
    <w:tbl>
      <w:tblPr>
        <w:tblStyle w:val="aff0"/>
        <w:tblpPr w:leftFromText="180" w:rightFromText="180" w:vertAnchor="text" w:horzAnchor="margin" w:tblpY="372"/>
        <w:tblW w:w="10173" w:type="dxa"/>
        <w:tblLook w:val="04A0" w:firstRow="1" w:lastRow="0" w:firstColumn="1" w:lastColumn="0" w:noHBand="0" w:noVBand="1"/>
      </w:tblPr>
      <w:tblGrid>
        <w:gridCol w:w="1242"/>
        <w:gridCol w:w="4820"/>
        <w:gridCol w:w="1948"/>
        <w:gridCol w:w="2163"/>
      </w:tblGrid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№ п/п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Наименование раздела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Количество часов</w:t>
            </w:r>
          </w:p>
        </w:tc>
        <w:tc>
          <w:tcPr>
            <w:tcW w:w="2163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ЭОР</w:t>
            </w: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Древнерусская литература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63" w:type="dxa"/>
            <w:vMerge w:val="restart"/>
          </w:tcPr>
          <w:p w:rsidR="003F2272" w:rsidRPr="003F2272" w:rsidRDefault="003F2272" w:rsidP="003F2272">
            <w:pPr>
              <w:rPr>
                <w:lang w:val="ru-RU"/>
              </w:rPr>
            </w:pPr>
            <w:r w:rsidRPr="003F2272">
              <w:rPr>
                <w:lang w:val="ru-RU"/>
              </w:rPr>
              <w:t>Фонохрес</w:t>
            </w:r>
            <w:r>
              <w:rPr>
                <w:lang w:val="ru-RU"/>
              </w:rPr>
              <w:t>томатия к учебнику «Литература.8</w:t>
            </w:r>
            <w:bookmarkStart w:id="0" w:name="_GoBack"/>
            <w:bookmarkEnd w:id="0"/>
            <w:r w:rsidRPr="003F2272">
              <w:rPr>
                <w:lang w:val="ru-RU"/>
              </w:rPr>
              <w:t xml:space="preserve"> класс».</w:t>
            </w:r>
          </w:p>
          <w:p w:rsidR="003F2272" w:rsidRPr="003F2272" w:rsidRDefault="003F2272" w:rsidP="003F2272">
            <w:pPr>
              <w:rPr>
                <w:lang w:val="ru-RU"/>
              </w:rPr>
            </w:pPr>
            <w:r w:rsidRPr="003F2272">
              <w:rPr>
                <w:lang w:val="ru-RU"/>
              </w:rPr>
              <w:t>Интернет-</w:t>
            </w:r>
          </w:p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ресурсы</w:t>
            </w: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4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Литература  X</w:t>
            </w:r>
            <w:r>
              <w:t>VIII</w:t>
            </w:r>
            <w:r w:rsidRPr="003F2272">
              <w:rPr>
                <w:lang w:val="ru-RU"/>
              </w:rPr>
              <w:t xml:space="preserve"> века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63" w:type="dxa"/>
            <w:vMerge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5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Литература первой</w:t>
            </w:r>
            <w:r w:rsidRPr="003F2272">
              <w:rPr>
                <w:lang w:val="ru-RU"/>
              </w:rPr>
              <w:t xml:space="preserve"> половины XIX века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63" w:type="dxa"/>
            <w:vMerge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6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 xml:space="preserve">Литература </w:t>
            </w:r>
            <w:r>
              <w:rPr>
                <w:lang w:val="ru-RU"/>
              </w:rPr>
              <w:t xml:space="preserve">второй </w:t>
            </w:r>
            <w:r w:rsidRPr="003F2272">
              <w:rPr>
                <w:lang w:val="ru-RU"/>
              </w:rPr>
              <w:t xml:space="preserve"> половины XIX века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63" w:type="dxa"/>
            <w:vMerge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7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Литература первой половины X</w:t>
            </w:r>
            <w:r w:rsidRPr="003F2272">
              <w:rPr>
                <w:lang w:val="ru-RU"/>
              </w:rPr>
              <w:t>X века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63" w:type="dxa"/>
            <w:vMerge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line="48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20" w:type="dxa"/>
          </w:tcPr>
          <w:p w:rsidR="003F2272" w:rsidRDefault="003F2272" w:rsidP="003F2272">
            <w:pPr>
              <w:spacing w:line="480" w:lineRule="auto"/>
              <w:rPr>
                <w:lang w:val="ru-RU"/>
              </w:rPr>
            </w:pPr>
            <w:r>
              <w:rPr>
                <w:lang w:val="ru-RU"/>
              </w:rPr>
              <w:t>Литература второй</w:t>
            </w:r>
            <w:r w:rsidRPr="003F2272">
              <w:rPr>
                <w:lang w:val="ru-RU"/>
              </w:rPr>
              <w:t xml:space="preserve"> половины XX века</w:t>
            </w:r>
          </w:p>
        </w:tc>
        <w:tc>
          <w:tcPr>
            <w:tcW w:w="1948" w:type="dxa"/>
          </w:tcPr>
          <w:p w:rsidR="003F2272" w:rsidRDefault="003F2272" w:rsidP="003F2272">
            <w:pPr>
              <w:spacing w:line="48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63" w:type="dxa"/>
            <w:vMerge/>
          </w:tcPr>
          <w:p w:rsidR="003F2272" w:rsidRPr="003F2272" w:rsidRDefault="003F2272" w:rsidP="003F2272">
            <w:pPr>
              <w:spacing w:line="480" w:lineRule="auto"/>
              <w:rPr>
                <w:lang w:val="ru-RU"/>
              </w:rPr>
            </w:pP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8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Зарубежная литература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63" w:type="dxa"/>
            <w:vMerge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9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Итоговый контроль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2</w:t>
            </w:r>
          </w:p>
        </w:tc>
        <w:tc>
          <w:tcPr>
            <w:tcW w:w="2163" w:type="dxa"/>
            <w:vMerge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</w:p>
        </w:tc>
      </w:tr>
      <w:tr w:rsidR="003F2272" w:rsidRPr="003F2272" w:rsidTr="003F2272">
        <w:tc>
          <w:tcPr>
            <w:tcW w:w="1242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10</w:t>
            </w:r>
          </w:p>
        </w:tc>
        <w:tc>
          <w:tcPr>
            <w:tcW w:w="4820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 xml:space="preserve">Резерв 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63" w:type="dxa"/>
            <w:vMerge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</w:p>
        </w:tc>
      </w:tr>
      <w:tr w:rsidR="003F2272" w:rsidRPr="003F2272" w:rsidTr="003F2272">
        <w:tc>
          <w:tcPr>
            <w:tcW w:w="6062" w:type="dxa"/>
            <w:gridSpan w:val="2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 w:rsidRPr="003F2272">
              <w:rPr>
                <w:lang w:val="ru-RU"/>
              </w:rPr>
              <w:t>Общее количество часов</w:t>
            </w:r>
          </w:p>
        </w:tc>
        <w:tc>
          <w:tcPr>
            <w:tcW w:w="1948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163" w:type="dxa"/>
          </w:tcPr>
          <w:p w:rsidR="003F2272" w:rsidRPr="003F2272" w:rsidRDefault="003F2272" w:rsidP="003F2272">
            <w:pPr>
              <w:spacing w:after="200" w:line="276" w:lineRule="auto"/>
              <w:rPr>
                <w:lang w:val="ru-RU"/>
              </w:rPr>
            </w:pPr>
          </w:p>
        </w:tc>
      </w:tr>
    </w:tbl>
    <w:p w:rsidR="00A21856" w:rsidRPr="004472AA" w:rsidRDefault="00A21856">
      <w:pPr>
        <w:rPr>
          <w:lang w:val="ru-RU"/>
        </w:rPr>
        <w:sectPr w:rsidR="00A21856" w:rsidRPr="004472AA">
          <w:pgSz w:w="11900" w:h="16840"/>
          <w:pgMar w:top="286" w:right="652" w:bottom="64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B40733" w:rsidRDefault="00B40733" w:rsidP="003F2272">
      <w:pPr>
        <w:rPr>
          <w:lang w:val="ru-RU"/>
        </w:rPr>
      </w:pPr>
    </w:p>
    <w:sectPr w:rsidR="00B4073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2272"/>
    <w:rsid w:val="004472AA"/>
    <w:rsid w:val="00A21856"/>
    <w:rsid w:val="00AA1D8D"/>
    <w:rsid w:val="00B4073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E88A1"/>
  <w14:defaultImageDpi w14:val="300"/>
  <w15:docId w15:val="{C9936DB7-1E9E-44B4-858C-94849826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1DB10F-65D7-4A92-99D9-CC4A6098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5273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Yulia</cp:lastModifiedBy>
  <cp:revision>3</cp:revision>
  <dcterms:created xsi:type="dcterms:W3CDTF">2013-12-23T23:15:00Z</dcterms:created>
  <dcterms:modified xsi:type="dcterms:W3CDTF">2022-09-19T16:29:00Z</dcterms:modified>
  <cp:category/>
</cp:coreProperties>
</file>